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D1" w:rsidRDefault="00CA13D1">
      <w:pPr>
        <w:pStyle w:val="Encabezado"/>
        <w:rPr>
          <w:lang w:val="es-CO"/>
        </w:rPr>
      </w:pPr>
      <w:bookmarkStart w:id="0" w:name="_GoBack"/>
      <w:bookmarkEnd w:id="0"/>
    </w:p>
    <w:p w:rsidR="00CA13D1" w:rsidRDefault="00CA13D1">
      <w:pPr>
        <w:jc w:val="center"/>
        <w:rPr>
          <w:rFonts w:ascii="Arial" w:eastAsia="Arial" w:hAnsi="Arial" w:cs="Arial"/>
          <w:lang w:val="es-CO"/>
        </w:rPr>
      </w:pPr>
    </w:p>
    <w:p w:rsidR="00CA13D1" w:rsidRDefault="00CA13D1">
      <w:pPr>
        <w:jc w:val="center"/>
        <w:rPr>
          <w:rFonts w:ascii="Arial" w:eastAsia="Arial" w:hAnsi="Arial" w:cs="Arial"/>
          <w:b/>
          <w:sz w:val="22"/>
          <w:szCs w:val="22"/>
          <w:lang w:val="es-CO"/>
        </w:rPr>
      </w:pPr>
    </w:p>
    <w:p w:rsidR="00CA13D1" w:rsidRDefault="00CA6724">
      <w:pPr>
        <w:jc w:val="center"/>
        <w:rPr>
          <w:rFonts w:ascii="Arial" w:eastAsia="Arial" w:hAnsi="Arial" w:cs="Arial"/>
          <w:b/>
          <w:sz w:val="22"/>
          <w:szCs w:val="22"/>
          <w:lang w:val="es-CO"/>
        </w:rPr>
      </w:pPr>
      <w:r>
        <w:rPr>
          <w:rFonts w:ascii="Arial" w:eastAsia="Arial" w:hAnsi="Arial" w:cs="Arial"/>
          <w:b/>
          <w:sz w:val="22"/>
          <w:szCs w:val="22"/>
          <w:lang w:val="es-CO"/>
        </w:rPr>
        <w:t>RESOLUCION No. CSJMER21-36</w:t>
      </w:r>
    </w:p>
    <w:p w:rsidR="00CA13D1" w:rsidRDefault="00CA6724">
      <w:pPr>
        <w:jc w:val="center"/>
        <w:rPr>
          <w:rFonts w:ascii="Arial" w:eastAsia="Arial" w:hAnsi="Arial" w:cs="Arial"/>
          <w:b/>
          <w:sz w:val="22"/>
          <w:szCs w:val="22"/>
          <w:lang w:val="es-CO"/>
        </w:rPr>
      </w:pPr>
      <w:r>
        <w:rPr>
          <w:rFonts w:ascii="Arial" w:eastAsia="Arial" w:hAnsi="Arial" w:cs="Arial"/>
          <w:b/>
          <w:sz w:val="22"/>
          <w:szCs w:val="22"/>
          <w:lang w:val="es-CO"/>
        </w:rPr>
        <w:t>1 de marzo de 2021</w:t>
      </w:r>
    </w:p>
    <w:p w:rsidR="00CA13D1" w:rsidRDefault="00CA13D1">
      <w:pPr>
        <w:jc w:val="center"/>
        <w:rPr>
          <w:rFonts w:ascii="Arial" w:eastAsia="Arial" w:hAnsi="Arial" w:cs="Arial"/>
          <w:b/>
          <w:sz w:val="22"/>
          <w:szCs w:val="22"/>
          <w:lang w:val="es-CO"/>
        </w:rPr>
      </w:pPr>
    </w:p>
    <w:p w:rsidR="00CA13D1" w:rsidRDefault="00CA13D1">
      <w:pPr>
        <w:jc w:val="center"/>
        <w:rPr>
          <w:rFonts w:ascii="Arial" w:eastAsia="Arial" w:hAnsi="Arial" w:cs="Arial"/>
          <w:b/>
          <w:sz w:val="22"/>
          <w:szCs w:val="22"/>
          <w:lang w:val="es-CO"/>
        </w:rPr>
      </w:pPr>
    </w:p>
    <w:p w:rsidR="00CA13D1" w:rsidRDefault="00CA6724">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CA13D1" w:rsidRDefault="00CA13D1">
      <w:pPr>
        <w:jc w:val="center"/>
        <w:rPr>
          <w:rFonts w:ascii="Arial" w:eastAsia="Arial" w:hAnsi="Arial" w:cs="Arial"/>
          <w:sz w:val="22"/>
          <w:szCs w:val="22"/>
          <w:lang w:val="es-CO"/>
        </w:rPr>
      </w:pPr>
    </w:p>
    <w:p w:rsidR="00CA13D1" w:rsidRDefault="00CA13D1">
      <w:pPr>
        <w:ind w:firstLine="17"/>
        <w:jc w:val="center"/>
        <w:rPr>
          <w:rFonts w:ascii="Arial" w:eastAsia="Arial" w:hAnsi="Arial" w:cs="Arial"/>
          <w:i/>
          <w:color w:val="000000"/>
          <w:sz w:val="22"/>
          <w:szCs w:val="22"/>
        </w:rPr>
      </w:pPr>
    </w:p>
    <w:p w:rsidR="00CA13D1" w:rsidRDefault="00CA6724">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CA13D1" w:rsidRDefault="00CA13D1">
      <w:pPr>
        <w:jc w:val="both"/>
        <w:rPr>
          <w:rFonts w:ascii="Arial" w:eastAsia="Arial" w:hAnsi="Arial" w:cs="Arial"/>
          <w:color w:val="000000"/>
          <w:sz w:val="22"/>
          <w:szCs w:val="22"/>
        </w:rPr>
      </w:pPr>
    </w:p>
    <w:p w:rsidR="00CA13D1" w:rsidRDefault="00CA6724">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CA13D1" w:rsidRDefault="00CA13D1">
      <w:pPr>
        <w:spacing w:line="256" w:lineRule="auto"/>
        <w:ind w:firstLine="15"/>
        <w:jc w:val="both"/>
        <w:rPr>
          <w:rFonts w:ascii="Arial" w:eastAsia="Arial" w:hAnsi="Arial" w:cs="Arial"/>
          <w:b/>
          <w:bCs/>
          <w:color w:val="000000"/>
          <w:sz w:val="22"/>
          <w:szCs w:val="22"/>
        </w:rPr>
      </w:pPr>
    </w:p>
    <w:p w:rsidR="00CA13D1" w:rsidRDefault="00CA6724">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CA13D1" w:rsidRDefault="00CA13D1">
      <w:pPr>
        <w:spacing w:line="256" w:lineRule="auto"/>
        <w:ind w:firstLine="15"/>
        <w:jc w:val="center"/>
        <w:rPr>
          <w:rFonts w:ascii="Arial" w:eastAsia="Arial" w:hAnsi="Arial" w:cs="Arial"/>
          <w:b/>
          <w:bCs/>
          <w:color w:val="000000"/>
          <w:sz w:val="22"/>
          <w:szCs w:val="22"/>
        </w:rPr>
      </w:pPr>
    </w:p>
    <w:p w:rsidR="00CA13D1" w:rsidRDefault="00CA6724">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CA13D1" w:rsidRDefault="00CA13D1">
      <w:pPr>
        <w:spacing w:line="264" w:lineRule="auto"/>
        <w:ind w:firstLine="15"/>
        <w:jc w:val="both"/>
        <w:rPr>
          <w:rFonts w:ascii="Arial" w:eastAsia="Arial" w:hAnsi="Arial" w:cs="Arial"/>
          <w:color w:val="000000"/>
          <w:sz w:val="22"/>
          <w:szCs w:val="22"/>
        </w:rPr>
      </w:pPr>
    </w:p>
    <w:p w:rsidR="00CA13D1" w:rsidRDefault="00CA6724">
      <w:pPr>
        <w:spacing w:after="188"/>
        <w:ind w:right="34"/>
        <w:jc w:val="both"/>
        <w:rPr>
          <w:rFonts w:ascii="Arial" w:eastAsia="Arial" w:hAnsi="Arial" w:cs="Arial"/>
          <w:color w:val="000000"/>
          <w:sz w:val="22"/>
          <w:szCs w:val="22"/>
        </w:rPr>
      </w:pPr>
      <w:r>
        <w:rPr>
          <w:rFonts w:ascii="Arial" w:eastAsia="Arial" w:hAnsi="Arial" w:cs="Arial"/>
          <w:color w:val="000000"/>
          <w:sz w:val="22"/>
          <w:szCs w:val="22"/>
        </w:rPr>
        <w:t xml:space="preserve">En desarrollo de la etapa de selección, los concursantes admitidos, fueron citados para </w:t>
      </w:r>
      <w:proofErr w:type="gramStart"/>
      <w:r>
        <w:rPr>
          <w:rFonts w:ascii="Arial" w:eastAsia="Arial" w:hAnsi="Arial" w:cs="Arial"/>
          <w:color w:val="000000"/>
          <w:sz w:val="22"/>
          <w:szCs w:val="22"/>
        </w:rPr>
        <w:t>presentar</w:t>
      </w:r>
      <w:proofErr w:type="gramEnd"/>
      <w:r>
        <w:rPr>
          <w:rFonts w:ascii="Arial" w:eastAsia="Arial" w:hAnsi="Arial" w:cs="Arial"/>
          <w:color w:val="000000"/>
          <w:sz w:val="22"/>
          <w:szCs w:val="22"/>
        </w:rPr>
        <w:t xml:space="preserve"> la prueba de conocimientos, competencias, aptitudes y/o habilidades y pruebas psicotécnica, la cual se llevó a cabo el tres (3) de febrero de 2019.</w:t>
      </w:r>
    </w:p>
    <w:p w:rsidR="00CA13D1" w:rsidRDefault="00CA6724">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CA13D1" w:rsidRDefault="00CA13D1">
      <w:pPr>
        <w:ind w:right="34"/>
        <w:jc w:val="both"/>
        <w:rPr>
          <w:rFonts w:ascii="Arial" w:eastAsia="Arial" w:hAnsi="Arial" w:cs="Arial"/>
          <w:color w:val="000000"/>
          <w:sz w:val="22"/>
          <w:szCs w:val="22"/>
        </w:rPr>
      </w:pPr>
    </w:p>
    <w:p w:rsidR="00CA13D1" w:rsidRDefault="00CA6724">
      <w:pPr>
        <w:jc w:val="both"/>
        <w:rPr>
          <w:rFonts w:ascii="Arial" w:eastAsia="Arial" w:hAnsi="Arial" w:cs="Arial"/>
          <w:sz w:val="22"/>
          <w:szCs w:val="22"/>
        </w:rPr>
      </w:pPr>
      <w:r>
        <w:rPr>
          <w:rFonts w:ascii="Arial" w:eastAsia="Arial" w:hAnsi="Arial" w:cs="Arial"/>
          <w:sz w:val="22"/>
          <w:szCs w:val="22"/>
        </w:rPr>
        <w:t xml:space="preserve">Que la señora </w:t>
      </w:r>
      <w:r>
        <w:rPr>
          <w:rFonts w:ascii="Arial" w:eastAsia="Arial" w:hAnsi="Arial" w:cs="Arial"/>
          <w:sz w:val="22"/>
          <w:szCs w:val="22"/>
          <w:lang w:val="pt-BR"/>
        </w:rPr>
        <w:t xml:space="preserve">MAGALI SAMARA RODRIGUEZ PEREZ </w:t>
      </w:r>
      <w:r>
        <w:rPr>
          <w:rFonts w:ascii="Arial" w:eastAsia="Arial" w:hAnsi="Arial" w:cs="Arial"/>
          <w:sz w:val="22"/>
          <w:szCs w:val="22"/>
        </w:rPr>
        <w:t xml:space="preserve">identificada con la cédula de ciudadanía No. </w:t>
      </w:r>
      <w:r>
        <w:rPr>
          <w:rFonts w:ascii="Arial" w:eastAsia="Arial" w:hAnsi="Arial" w:cs="Arial"/>
          <w:bCs/>
          <w:sz w:val="22"/>
          <w:szCs w:val="22"/>
        </w:rPr>
        <w:t>C.C. 40442183</w:t>
      </w:r>
      <w:r>
        <w:rPr>
          <w:rFonts w:ascii="Arial" w:eastAsia="Arial" w:hAnsi="Arial" w:cs="Arial"/>
          <w:sz w:val="22"/>
          <w:szCs w:val="22"/>
        </w:rPr>
        <w:t xml:space="preserve">, en su condición de concursante admitido al cargo de AUXILIAR JUDICIAL DE JUZGADOS PENALES DEL CIRCUITO ESPECIALIZADO- Grupo 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CA13D1" w:rsidRDefault="00CA6724">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A13D1" w:rsidRDefault="00CA6724">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CA13D1" w:rsidRDefault="00CA6724">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A13D1" w:rsidRDefault="00CA6724">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CA13D1" w:rsidRDefault="00CA13D1">
      <w:pPr>
        <w:spacing w:line="259" w:lineRule="auto"/>
        <w:ind w:left="137"/>
      </w:pPr>
    </w:p>
    <w:p w:rsidR="00CA13D1" w:rsidRDefault="00CA13D1">
      <w:pPr>
        <w:spacing w:line="259" w:lineRule="auto"/>
        <w:ind w:left="142"/>
      </w:pPr>
    </w:p>
    <w:p w:rsidR="00CA13D1" w:rsidRDefault="00CA13D1">
      <w:pPr>
        <w:spacing w:line="259" w:lineRule="auto"/>
        <w:ind w:left="142"/>
      </w:pPr>
    </w:p>
    <w:p w:rsidR="00CA13D1" w:rsidRDefault="00CA6724">
      <w:pPr>
        <w:spacing w:line="259" w:lineRule="auto"/>
        <w:ind w:left="143" w:right="145"/>
        <w:jc w:val="center"/>
        <w:rPr>
          <w:rFonts w:ascii="Arial" w:eastAsia="Arial" w:hAnsi="Arial" w:cs="Arial"/>
          <w:sz w:val="22"/>
          <w:szCs w:val="22"/>
        </w:rPr>
      </w:pPr>
      <w:r>
        <w:rPr>
          <w:rFonts w:ascii="Arial" w:eastAsia="Arial" w:hAnsi="Arial" w:cs="Arial"/>
          <w:b/>
          <w:sz w:val="22"/>
          <w:szCs w:val="22"/>
        </w:rPr>
        <w:lastRenderedPageBreak/>
        <w:t>CONSIDERACIONES:</w:t>
      </w:r>
    </w:p>
    <w:p w:rsidR="00CA13D1" w:rsidRDefault="00CA6724">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Con fundamento en el artículo 164 de la Ley 270 de 1996, y el numeral 5.1.1 de la convocatoria, la cual es ley del concurso y por consiguiente de obligatorio cumplimiento tanto para los aspirantes como para esta Corporación, en la primera fase de este concurso de méritos está incluida, con carácter eliminatorio, las pruebas de conocimientos, competencias, aptitudes y/o habilidades.</w:t>
      </w:r>
    </w:p>
    <w:p w:rsidR="00CA13D1" w:rsidRDefault="00CA6724">
      <w:pPr>
        <w:jc w:val="both"/>
        <w:rPr>
          <w:rFonts w:ascii="Arial" w:eastAsia="Arial" w:hAnsi="Arial" w:cs="Arial"/>
          <w:sz w:val="22"/>
          <w:szCs w:val="22"/>
        </w:rPr>
      </w:pPr>
      <w:r>
        <w:rPr>
          <w:rFonts w:ascii="Arial" w:eastAsia="Arial" w:hAnsi="Arial" w:cs="Arial"/>
          <w:sz w:val="22"/>
          <w:szCs w:val="22"/>
        </w:rPr>
        <w:t xml:space="preserve">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CA13D1" w:rsidRDefault="00CA13D1">
      <w:pPr>
        <w:jc w:val="both"/>
        <w:rPr>
          <w:rFonts w:ascii="Arial" w:eastAsia="Arial" w:hAnsi="Arial" w:cs="Arial"/>
          <w:sz w:val="22"/>
          <w:szCs w:val="22"/>
        </w:rPr>
      </w:pPr>
    </w:p>
    <w:p w:rsidR="00CA13D1" w:rsidRDefault="00CA6724">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CA13D1" w:rsidRDefault="00CA6724">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lastRenderedPageBreak/>
        <w:t xml:space="preserve">La distribución de los datos se comportó típicamente y esto permite la estandarización de puntajes sobre una curva normal.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CA13D1" w:rsidRDefault="00CA13D1">
      <w:pPr>
        <w:ind w:right="34"/>
        <w:jc w:val="both"/>
        <w:rPr>
          <w:rFonts w:ascii="Arial" w:eastAsia="Arial" w:hAnsi="Arial" w:cs="Arial"/>
          <w:color w:val="000000"/>
          <w:sz w:val="22"/>
          <w:szCs w:val="22"/>
        </w:rPr>
      </w:pPr>
    </w:p>
    <w:p w:rsidR="00CA13D1" w:rsidRDefault="00CA6724">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CA13D1" w:rsidRDefault="00CA6724">
      <w:pPr>
        <w:spacing w:line="259" w:lineRule="auto"/>
        <w:jc w:val="both"/>
        <w:rPr>
          <w:rFonts w:ascii="Arial" w:eastAsia="Arial" w:hAnsi="Arial" w:cs="Arial"/>
          <w:sz w:val="22"/>
          <w:szCs w:val="22"/>
        </w:rPr>
      </w:pPr>
      <w:r>
        <w:rPr>
          <w:rFonts w:ascii="Arial" w:eastAsia="Arial" w:hAnsi="Arial" w:cs="Arial"/>
          <w:sz w:val="22"/>
          <w:szCs w:val="22"/>
        </w:rPr>
        <w:t xml:space="preserve"> </w:t>
      </w:r>
    </w:p>
    <w:p w:rsidR="00CA13D1" w:rsidRDefault="00CA6724">
      <w:pPr>
        <w:jc w:val="both"/>
        <w:rPr>
          <w:sz w:val="22"/>
          <w:szCs w:val="22"/>
        </w:rPr>
      </w:pPr>
      <w:r>
        <w:rPr>
          <w:rFonts w:ascii="Arial" w:eastAsia="Arial" w:hAnsi="Arial" w:cs="Arial"/>
          <w:sz w:val="22"/>
          <w:szCs w:val="22"/>
        </w:rPr>
        <w:t xml:space="preserve">Respecto de lo manifestado en su escrito de recurso en el que solicita se revisen cada una de las preguntas relacionadas teniendo especial atención a las respuestas dadas por el aspirante y la argumentación del porque se deben tener como </w:t>
      </w:r>
      <w:proofErr w:type="spellStart"/>
      <w:r>
        <w:rPr>
          <w:rFonts w:ascii="Arial" w:eastAsia="Arial" w:hAnsi="Arial" w:cs="Arial"/>
          <w:sz w:val="22"/>
          <w:szCs w:val="22"/>
        </w:rPr>
        <w:t>validas</w:t>
      </w:r>
      <w:proofErr w:type="spellEnd"/>
      <w:r>
        <w:rPr>
          <w:rFonts w:ascii="Arial" w:eastAsia="Arial" w:hAnsi="Arial" w:cs="Arial"/>
          <w:sz w:val="22"/>
          <w:szCs w:val="22"/>
        </w:rPr>
        <w:t>, por lo anterior, se solicitó el soporte a la Universidad Nacional con el fin de resolver la inquietud presentada, entidad que emitió concepto técnico, mediante correo institucional del 01 de marzo de 2021, el cual se transcribe, así:</w:t>
      </w:r>
    </w:p>
    <w:p w:rsidR="00CA13D1" w:rsidRDefault="00CA13D1">
      <w:pPr>
        <w:ind w:left="360"/>
        <w:rPr>
          <w:rFonts w:ascii="Arial" w:eastAsia="Arial" w:hAnsi="Arial" w:cs="Arial"/>
          <w:b/>
          <w:bCs/>
          <w:i/>
          <w:iCs/>
          <w:sz w:val="20"/>
          <w:szCs w:val="20"/>
        </w:rPr>
      </w:pPr>
    </w:p>
    <w:p w:rsidR="00CA13D1" w:rsidRDefault="00CA6724">
      <w:pPr>
        <w:jc w:val="both"/>
        <w:rPr>
          <w:rFonts w:ascii="Arial" w:eastAsia="Arial" w:hAnsi="Arial" w:cs="Arial"/>
          <w:sz w:val="22"/>
          <w:szCs w:val="22"/>
        </w:rPr>
      </w:pPr>
      <w:r>
        <w:rPr>
          <w:rFonts w:ascii="Arial" w:eastAsia="Arial" w:hAnsi="Arial" w:cs="Arial"/>
          <w:sz w:val="22"/>
          <w:szCs w:val="22"/>
        </w:rPr>
        <w:t>Se efectué una revisión manual para detectar un presunto error aritmético en la cuantificación del puntaje final de la prueba de conocimientos.</w:t>
      </w:r>
    </w:p>
    <w:p w:rsidR="00CA13D1" w:rsidRDefault="00CA13D1">
      <w:pPr>
        <w:pStyle w:val="Prrafodelista"/>
        <w:spacing w:after="0" w:line="240" w:lineRule="auto"/>
        <w:rPr>
          <w:rFonts w:ascii="Arial" w:eastAsia="Arial" w:hAnsi="Arial" w:cs="Arial"/>
        </w:rPr>
      </w:pPr>
    </w:p>
    <w:p w:rsidR="00CA13D1" w:rsidRDefault="00CA6724">
      <w:pPr>
        <w:rPr>
          <w:rFonts w:ascii="Arial" w:eastAsia="Arial" w:hAnsi="Arial" w:cs="Arial"/>
          <w:sz w:val="22"/>
          <w:szCs w:val="22"/>
        </w:rPr>
      </w:pPr>
      <w:r>
        <w:rPr>
          <w:rFonts w:ascii="Arial" w:eastAsia="Arial" w:hAnsi="Arial" w:cs="Arial"/>
          <w:sz w:val="22"/>
          <w:szCs w:val="22"/>
        </w:rPr>
        <w:t>Al respecto la Universidad Nacional de Colombia manifestó:</w:t>
      </w:r>
    </w:p>
    <w:p w:rsidR="00CA13D1" w:rsidRDefault="00CA13D1">
      <w:pPr>
        <w:rPr>
          <w:rFonts w:ascii="Arial" w:eastAsia="Arial" w:hAnsi="Arial" w:cs="Arial"/>
          <w:b/>
          <w:bCs/>
          <w:i/>
          <w:iCs/>
          <w:sz w:val="20"/>
          <w:szCs w:val="20"/>
        </w:rPr>
      </w:pP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Los procesos de lectura de las hojas de respuesta atienden a los siguientes momentos.</w:t>
      </w: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Se leen las hojas de respuestas, para lo cual se utiliza una máquina de Lectura Óptica, previamente calibrada y que ha sido sometida al protocolo definido por la Dirección Nacional de Admisiones para la realización de todos los procesos de lectura. El protocolo que se sigue incluye la puesta a punto en:</w:t>
      </w:r>
    </w:p>
    <w:p w:rsidR="00CA13D1" w:rsidRDefault="00CA6724">
      <w:pPr>
        <w:ind w:left="567"/>
        <w:jc w:val="both"/>
        <w:rPr>
          <w:rFonts w:ascii="Arial" w:eastAsia="Arial" w:hAnsi="Arial" w:cs="Arial"/>
          <w:i/>
          <w:iCs/>
          <w:sz w:val="20"/>
          <w:szCs w:val="20"/>
        </w:rPr>
      </w:pPr>
      <w:r>
        <w:rPr>
          <w:rFonts w:ascii="Arial" w:eastAsia="Arial" w:hAnsi="Arial" w:cs="Arial"/>
          <w:i/>
          <w:iCs/>
          <w:sz w:val="20"/>
          <w:szCs w:val="20"/>
        </w:rPr>
        <w:t>Hardware: verificación de calibración de cabezales, de la mecánica del lector, de la adecuada toma y alineación del papel, y la verificación de la captura correcta de información y de la impresión del número de lectura.</w:t>
      </w:r>
    </w:p>
    <w:p w:rsidR="00CA13D1" w:rsidRDefault="00CA6724">
      <w:pPr>
        <w:ind w:left="567"/>
        <w:jc w:val="both"/>
        <w:rPr>
          <w:rFonts w:ascii="Arial" w:eastAsia="Arial" w:hAnsi="Arial" w:cs="Arial"/>
          <w:i/>
          <w:iCs/>
          <w:sz w:val="20"/>
          <w:szCs w:val="20"/>
        </w:rPr>
      </w:pPr>
      <w:r>
        <w:rPr>
          <w:rFonts w:ascii="Arial" w:eastAsia="Arial" w:hAnsi="Arial" w:cs="Arial"/>
          <w:i/>
          <w:iCs/>
          <w:sz w:val="20"/>
          <w:szCs w:val="20"/>
        </w:rPr>
        <w:t xml:space="preserve">Software: Se realizan pruebas de sensibilidad, precisión y discriminación y se hace la verificación del registro de </w:t>
      </w:r>
      <w:proofErr w:type="spellStart"/>
      <w:r>
        <w:rPr>
          <w:rFonts w:ascii="Arial" w:eastAsia="Arial" w:hAnsi="Arial" w:cs="Arial"/>
          <w:i/>
          <w:iCs/>
          <w:sz w:val="20"/>
          <w:szCs w:val="20"/>
        </w:rPr>
        <w:t>multimarca</w:t>
      </w:r>
      <w:proofErr w:type="spellEnd"/>
      <w:r>
        <w:rPr>
          <w:rFonts w:ascii="Arial" w:eastAsia="Arial" w:hAnsi="Arial" w:cs="Arial"/>
          <w:i/>
          <w:iCs/>
          <w:sz w:val="20"/>
          <w:szCs w:val="20"/>
        </w:rPr>
        <w:t xml:space="preserve"> y de la ausencia de respuesta. Es importante aclarar que el diligenciamiento de la hoja de respuestas requiere el seguimiento de las instrucciones dadas para contestar adecuadamente la prueba, entre las cuales se incluye el diligenciamiento </w:t>
      </w:r>
      <w:r>
        <w:rPr>
          <w:rFonts w:ascii="Arial" w:eastAsia="Arial" w:hAnsi="Arial" w:cs="Arial"/>
          <w:i/>
          <w:iCs/>
          <w:sz w:val="20"/>
          <w:szCs w:val="20"/>
        </w:rPr>
        <w:lastRenderedPageBreak/>
        <w:t>de la hoja de respuestas con lápiz de mina negra, sin lo cual, el registro de las respuestas no se consigue.</w:t>
      </w: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Se carga la cadena de respuestas correctas en la máquina de lectura óptica, la cual sólo se carga después de realizada la aplicación de la prueba. Antes y durante la aplicación, dicha cadena de respuestas correctas está bajo custodia del equipo que construye la prueba y no del grupo que realiza la calificación.</w:t>
      </w: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Una vez se realiza la lectura de la totalidad de las hojas de respuestas entregadas por la compañía de seguridad a la Dirección Nacional de Admisiones, se procede a verificar y corregir las inconsistencias que pueden generarse con la mala manipulación de las hojas de respuestas por parte de los aspirantes, que tiene lugar cuando alteran la personalización de las respectivas hojas de respuestas. Se genera una lista de credenciales de ausentes a la prueba y de hojas de respuestas no leídas.</w:t>
      </w: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A continuación, una vez leídas las hojas de respuestas y depurado el archivo, se procede a asignar un punto por cada respuesta correcta, al comparar la respuesta dada por cada aspirante en cada una de las preguntas con respecto a la cadena de respuestas correctas.</w:t>
      </w:r>
    </w:p>
    <w:p w:rsidR="00CA13D1" w:rsidRDefault="00CA6724">
      <w:pPr>
        <w:numPr>
          <w:ilvl w:val="0"/>
          <w:numId w:val="2"/>
        </w:numPr>
        <w:ind w:left="567" w:firstLine="0"/>
        <w:jc w:val="both"/>
        <w:rPr>
          <w:rFonts w:ascii="Arial" w:eastAsia="Arial" w:hAnsi="Arial" w:cs="Arial"/>
          <w:i/>
          <w:iCs/>
          <w:sz w:val="20"/>
          <w:szCs w:val="20"/>
        </w:rPr>
      </w:pPr>
      <w:r>
        <w:rPr>
          <w:rFonts w:ascii="Arial" w:eastAsia="Arial" w:hAnsi="Arial" w:cs="Arial"/>
          <w:i/>
          <w:iCs/>
          <w:sz w:val="20"/>
          <w:szCs w:val="20"/>
        </w:rPr>
        <w:t>Finalmente se pasa la base de lectura al proceso de calificación diseñado de acuerdo con las directrices establecidas en el Acuerdo PCSJA 17 -10643 del 14 de febrero de 2017.</w:t>
      </w:r>
    </w:p>
    <w:p w:rsidR="00CA13D1" w:rsidRDefault="00CA13D1">
      <w:pPr>
        <w:ind w:left="567"/>
        <w:jc w:val="both"/>
        <w:rPr>
          <w:rFonts w:ascii="Arial" w:eastAsia="Arial" w:hAnsi="Arial" w:cs="Arial"/>
          <w:i/>
          <w:iCs/>
          <w:sz w:val="20"/>
          <w:szCs w:val="20"/>
        </w:rPr>
      </w:pPr>
    </w:p>
    <w:p w:rsidR="00CA13D1" w:rsidRDefault="00CA6724">
      <w:pPr>
        <w:ind w:left="567"/>
        <w:jc w:val="both"/>
        <w:rPr>
          <w:rFonts w:ascii="Arial" w:eastAsia="Arial" w:hAnsi="Arial" w:cs="Arial"/>
          <w:i/>
          <w:iCs/>
          <w:sz w:val="20"/>
          <w:szCs w:val="20"/>
        </w:rPr>
      </w:pPr>
      <w:r>
        <w:rPr>
          <w:rFonts w:ascii="Arial" w:eastAsia="Arial" w:hAnsi="Arial" w:cs="Arial"/>
          <w:i/>
          <w:iCs/>
          <w:sz w:val="20"/>
          <w:szCs w:val="20"/>
        </w:rPr>
        <w:t>Así las cosas, le confirmamos que su hoja de respuestas fue leída correctamente por la máquina de lectura óptica de la Universidad.</w:t>
      </w:r>
    </w:p>
    <w:p w:rsidR="00CA13D1" w:rsidRDefault="00CA13D1">
      <w:pPr>
        <w:jc w:val="both"/>
        <w:rPr>
          <w:rFonts w:ascii="Arial" w:eastAsia="Arial" w:hAnsi="Arial" w:cs="Arial"/>
          <w:i/>
          <w:iCs/>
          <w:sz w:val="20"/>
          <w:szCs w:val="20"/>
        </w:rPr>
      </w:pPr>
    </w:p>
    <w:p w:rsidR="00CA13D1" w:rsidRDefault="00CA13D1">
      <w:pPr>
        <w:ind w:right="616"/>
        <w:jc w:val="both"/>
        <w:rPr>
          <w:rFonts w:ascii="Arial" w:eastAsia="Arial" w:hAnsi="Arial" w:cs="Arial"/>
          <w:i/>
          <w:iCs/>
          <w:sz w:val="20"/>
          <w:szCs w:val="20"/>
          <w:u w:val="single"/>
        </w:rPr>
      </w:pPr>
    </w:p>
    <w:p w:rsidR="00CA13D1" w:rsidRDefault="00CA6724">
      <w:pPr>
        <w:jc w:val="both"/>
        <w:rPr>
          <w:rFonts w:ascii="Arial" w:eastAsia="Arial" w:hAnsi="Arial" w:cs="Arial"/>
          <w:sz w:val="22"/>
          <w:szCs w:val="22"/>
        </w:rPr>
      </w:pPr>
      <w:r>
        <w:rPr>
          <w:rFonts w:ascii="Arial" w:eastAsia="Arial" w:hAnsi="Arial" w:cs="Arial"/>
          <w:sz w:val="22"/>
          <w:szCs w:val="22"/>
        </w:rPr>
        <w:t>En cuanto a las inquietudes relacionadas con la metodología aplicada para la calificación de las pruebas, valor asignado a cada pregunta de la prueba de conocimientos y la aplicación de media o curva para calificar las respuestas a las peguntas de la prueba de conocimientos, la Universidad Nacional de Colombia manifestó:</w:t>
      </w:r>
    </w:p>
    <w:p w:rsidR="00CA13D1" w:rsidRDefault="00CA13D1">
      <w:pPr>
        <w:jc w:val="both"/>
        <w:rPr>
          <w:rFonts w:ascii="Arial" w:eastAsia="Arial" w:hAnsi="Arial" w:cs="Arial"/>
          <w:i/>
          <w:iCs/>
          <w:sz w:val="20"/>
          <w:szCs w:val="20"/>
        </w:rPr>
      </w:pPr>
    </w:p>
    <w:p w:rsidR="00CA13D1" w:rsidRDefault="00CA6724">
      <w:pPr>
        <w:ind w:left="709"/>
        <w:jc w:val="both"/>
        <w:rPr>
          <w:rFonts w:ascii="Arial" w:eastAsia="Arial" w:hAnsi="Arial" w:cs="Arial"/>
          <w:b/>
          <w:bCs/>
          <w:i/>
          <w:iCs/>
          <w:sz w:val="20"/>
          <w:szCs w:val="20"/>
        </w:rPr>
      </w:pPr>
      <w:r>
        <w:rPr>
          <w:rFonts w:ascii="Arial" w:eastAsia="Arial" w:hAnsi="Arial" w:cs="Arial"/>
          <w:b/>
          <w:bCs/>
          <w:i/>
          <w:iCs/>
          <w:sz w:val="20"/>
          <w:szCs w:val="20"/>
        </w:rPr>
        <w:t>“Sobre metodología de calificación</w:t>
      </w: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Frente a la metodología de calificación, a continuación se explica el proceso realizado para implementar las directrices establecidas en el Acuerdo PCSJA 17 -10643 del 14 de febrero de 2017.</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Para obtener la calificación final en las pruebas escritas, la Universidad Nacional de Colombia sigue procedimientos psicométricos validados y que permiten comparar el desempeño entre los concursantes. Es importante resaltar que este modelo no implica solo un conteo de respuestas correctas, sino que, partiendo de modelos estadísticos confiables, se logra asignar numéricamente un valor de acuerdo con el desempeño que cada aspirante tiene en una prueba y con relación al promedio y la desviación estándar de la población que aspira al mismo cargo. Este valor se transforma posteriormente en una escala de calificación que tiene un máximo de 1.000 puntos y con un puntaje aprobatorio de 800, según lo establecido en el Acuerdo de convocatoria.</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Puntaje Estandarizado = 750 + (100 x Z). El valor Z resulta del cálculo de la siguiente fórmula:</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u w:val="single"/>
        </w:rPr>
      </w:pPr>
      <w:r>
        <w:rPr>
          <w:rFonts w:ascii="Arial" w:eastAsia="Arial" w:hAnsi="Arial" w:cs="Arial"/>
          <w:i/>
          <w:iCs/>
          <w:sz w:val="20"/>
          <w:szCs w:val="20"/>
        </w:rPr>
        <w:t xml:space="preserve">Z = </w:t>
      </w:r>
      <w:r>
        <w:rPr>
          <w:rFonts w:ascii="Arial" w:eastAsia="Arial" w:hAnsi="Arial" w:cs="Arial"/>
          <w:i/>
          <w:iCs/>
          <w:sz w:val="20"/>
          <w:szCs w:val="20"/>
          <w:u w:val="single"/>
        </w:rPr>
        <w:t>Puntaje directo del aspirante - Promedio de puntajes de aspirantes al cargo al que se inscribe</w:t>
      </w: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 xml:space="preserve">                   Desviación estándar de puntajes de aspirantes al cargo al que se inscribe</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Teniendo en cuenta que el puntaje transformado no se obtiene a partir de una regla de tres y que depende de la dispersión de los resultados o las distancias con relación al promedio, la escala refleja el comportamiento de los componentes evaluados en cada grupo de referencia.”</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w:t>
      </w:r>
      <w:r>
        <w:rPr>
          <w:rFonts w:ascii="Arial" w:eastAsia="Arial" w:hAnsi="Arial" w:cs="Arial"/>
          <w:i/>
          <w:iCs/>
          <w:sz w:val="20"/>
          <w:szCs w:val="20"/>
        </w:rPr>
        <w:lastRenderedPageBreak/>
        <w:t>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w:t>
      </w:r>
    </w:p>
    <w:p w:rsidR="00CA13D1" w:rsidRDefault="00CA13D1">
      <w:pPr>
        <w:ind w:left="709"/>
        <w:jc w:val="both"/>
        <w:rPr>
          <w:rFonts w:ascii="Arial" w:eastAsia="Arial" w:hAnsi="Arial" w:cs="Arial"/>
          <w:i/>
          <w:iCs/>
          <w:sz w:val="20"/>
          <w:szCs w:val="20"/>
        </w:rPr>
      </w:pPr>
    </w:p>
    <w:p w:rsidR="00CA13D1" w:rsidRDefault="00CA6724">
      <w:pPr>
        <w:ind w:left="709"/>
        <w:jc w:val="both"/>
        <w:rPr>
          <w:rFonts w:ascii="Arial" w:eastAsia="Arial" w:hAnsi="Arial" w:cs="Arial"/>
          <w:i/>
          <w:iCs/>
          <w:sz w:val="20"/>
          <w:szCs w:val="20"/>
        </w:rPr>
      </w:pPr>
      <w:r>
        <w:rPr>
          <w:rFonts w:ascii="Arial" w:eastAsia="Arial" w:hAnsi="Arial" w:cs="Arial"/>
          <w:i/>
          <w:iCs/>
          <w:sz w:val="20"/>
          <w:szCs w:val="20"/>
        </w:rPr>
        <w:t>“La estandarización de puntajes o “curva” no se establece a partir de un puntaje ideal de 1.000 puntos. La estandarización se realiza con base en el promedio y la desviación estándar del grupo de aspirantes que se presentan al mismo cargo. Cuánto más alejado o cercano se encuentre del puntaje promedio, así será la calificación final obtenida.</w:t>
      </w:r>
    </w:p>
    <w:p w:rsidR="00CA13D1" w:rsidRDefault="00CA13D1">
      <w:pPr>
        <w:ind w:left="360"/>
        <w:jc w:val="both"/>
        <w:rPr>
          <w:rFonts w:ascii="Arial" w:eastAsia="Arial" w:hAnsi="Arial" w:cs="Arial"/>
          <w:i/>
          <w:iCs/>
          <w:sz w:val="20"/>
          <w:szCs w:val="20"/>
        </w:rPr>
      </w:pPr>
    </w:p>
    <w:p w:rsidR="00CA13D1" w:rsidRDefault="00CA6724">
      <w:pPr>
        <w:jc w:val="both"/>
        <w:rPr>
          <w:rFonts w:ascii="Arial" w:eastAsia="Arial" w:hAnsi="Arial" w:cs="Arial"/>
          <w:sz w:val="22"/>
          <w:szCs w:val="22"/>
        </w:rPr>
      </w:pPr>
      <w:r>
        <w:rPr>
          <w:rFonts w:ascii="Arial" w:eastAsia="Arial" w:hAnsi="Arial" w:cs="Arial"/>
          <w:sz w:val="22"/>
          <w:szCs w:val="22"/>
        </w:rPr>
        <w:t>Se estudie la posibilidad de aproximación de puntajes o de otorgar mayor puntaje a las respuestas de opción múltiple cuando una de las opciones estuvo bien y se sumen todos los decimales de la prueba para obtener 800 puntos.</w:t>
      </w:r>
    </w:p>
    <w:p w:rsidR="00CA13D1" w:rsidRDefault="00CA13D1">
      <w:pPr>
        <w:jc w:val="both"/>
        <w:rPr>
          <w:rFonts w:ascii="Arial" w:eastAsia="Arial" w:hAnsi="Arial" w:cs="Arial"/>
        </w:rPr>
      </w:pPr>
    </w:p>
    <w:p w:rsidR="00CA13D1" w:rsidRDefault="00CA6724">
      <w:pPr>
        <w:jc w:val="both"/>
        <w:rPr>
          <w:rFonts w:ascii="Arial" w:eastAsia="Arial" w:hAnsi="Arial" w:cs="Arial"/>
          <w:sz w:val="22"/>
          <w:szCs w:val="22"/>
        </w:rPr>
      </w:pPr>
      <w:r>
        <w:rPr>
          <w:rFonts w:ascii="Arial" w:eastAsia="Arial" w:hAnsi="Arial" w:cs="Arial"/>
          <w:sz w:val="22"/>
          <w:szCs w:val="22"/>
        </w:rPr>
        <w:t>Al respecto la Universidad Nacional informó:</w:t>
      </w:r>
    </w:p>
    <w:p w:rsidR="00CA13D1" w:rsidRDefault="00CA13D1">
      <w:pPr>
        <w:jc w:val="both"/>
        <w:rPr>
          <w:rFonts w:ascii="Arial" w:eastAsia="Arial" w:hAnsi="Arial" w:cs="Arial"/>
        </w:rPr>
      </w:pPr>
    </w:p>
    <w:p w:rsidR="00CA13D1" w:rsidRDefault="00CA6724">
      <w:pPr>
        <w:ind w:left="567"/>
        <w:jc w:val="both"/>
        <w:rPr>
          <w:rFonts w:ascii="Arial" w:eastAsia="Arial" w:hAnsi="Arial" w:cs="Arial"/>
          <w:i/>
          <w:iCs/>
          <w:sz w:val="20"/>
          <w:szCs w:val="20"/>
        </w:rPr>
      </w:pPr>
      <w:r>
        <w:rPr>
          <w:rFonts w:ascii="Arial" w:eastAsia="Arial" w:hAnsi="Arial" w:cs="Arial"/>
          <w:i/>
          <w:iCs/>
          <w:sz w:val="20"/>
          <w:szCs w:val="20"/>
        </w:rPr>
        <w:t>“La convocatoria no establece la utilización de aproximaciones de los puntajes finales a la unidad más cercana. Además, realizar la calificación con todos los decimales no aumenta el puntaje final. A modo de ejemplo, la calificación más cercana se encuentra en los aspirantes que obtuvieron un puntaje final de 799,94/1.000. Este puntaje se obtiene a partir de un valor de z de 0,4994. Si se hiciera el cálculo con todos los decimales que arroja el valor de z para este grupo de referencia, es decir, 0,499408157071528 se obtendría un puntaje final de 749,940815707153.”</w:t>
      </w:r>
    </w:p>
    <w:p w:rsidR="00CA13D1" w:rsidRDefault="00CA13D1">
      <w:pPr>
        <w:ind w:left="567"/>
        <w:jc w:val="both"/>
        <w:rPr>
          <w:rFonts w:ascii="Arial" w:eastAsia="Arial" w:hAnsi="Arial" w:cs="Arial"/>
          <w:i/>
          <w:iCs/>
          <w:sz w:val="20"/>
          <w:szCs w:val="20"/>
        </w:rPr>
      </w:pPr>
    </w:p>
    <w:p w:rsidR="00CA13D1" w:rsidRDefault="00CA6724">
      <w:pPr>
        <w:ind w:left="567"/>
        <w:jc w:val="both"/>
        <w:rPr>
          <w:rFonts w:ascii="Arial" w:eastAsia="Arial" w:hAnsi="Arial" w:cs="Arial"/>
          <w:i/>
          <w:iCs/>
          <w:sz w:val="20"/>
          <w:szCs w:val="20"/>
        </w:rPr>
      </w:pPr>
      <w:r>
        <w:rPr>
          <w:rFonts w:ascii="Arial" w:eastAsia="Arial" w:hAnsi="Arial" w:cs="Arial"/>
          <w:i/>
          <w:iCs/>
          <w:sz w:val="20"/>
          <w:szCs w:val="20"/>
        </w:rPr>
        <w:t xml:space="preserve">“La “calificación especial” de una o varias preguntas, no es una metodología que se encuentre dentro de los parámetros técnicos rigurosos que aplica la Universidad en los procesos de pruebas escritas que diseña e implementa.” </w:t>
      </w:r>
    </w:p>
    <w:p w:rsidR="00CA13D1" w:rsidRDefault="00CA13D1">
      <w:pPr>
        <w:ind w:left="567"/>
        <w:jc w:val="both"/>
        <w:rPr>
          <w:rFonts w:ascii="Arial" w:eastAsia="Arial" w:hAnsi="Arial" w:cs="Arial"/>
          <w:i/>
          <w:iCs/>
          <w:sz w:val="20"/>
          <w:szCs w:val="20"/>
        </w:rPr>
      </w:pPr>
    </w:p>
    <w:p w:rsidR="00CA13D1" w:rsidRDefault="00CA6724">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CA13D1" w:rsidRDefault="00CA13D1">
      <w:pPr>
        <w:ind w:right="34"/>
        <w:jc w:val="both"/>
        <w:rPr>
          <w:rFonts w:ascii="Arial" w:eastAsia="Arial" w:hAnsi="Arial" w:cs="Arial"/>
          <w:color w:val="000000"/>
          <w:sz w:val="22"/>
          <w:szCs w:val="22"/>
        </w:rPr>
      </w:pPr>
    </w:p>
    <w:p w:rsidR="00CA13D1" w:rsidRDefault="00CA6724">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CA13D1" w:rsidRDefault="00CA13D1">
      <w:pPr>
        <w:jc w:val="both"/>
        <w:rPr>
          <w:rFonts w:ascii="Arial" w:eastAsia="Arial" w:hAnsi="Arial" w:cs="Arial"/>
          <w:color w:val="000000"/>
          <w:sz w:val="22"/>
          <w:szCs w:val="22"/>
          <w:lang w:val="es-CO"/>
        </w:rPr>
      </w:pPr>
    </w:p>
    <w:p w:rsidR="00CA13D1" w:rsidRDefault="00CA13D1">
      <w:pPr>
        <w:jc w:val="both"/>
        <w:rPr>
          <w:rFonts w:ascii="Arial" w:eastAsia="Arial" w:hAnsi="Arial" w:cs="Arial"/>
          <w:color w:val="000000"/>
          <w:sz w:val="22"/>
          <w:szCs w:val="22"/>
          <w:lang w:val="es-CO"/>
        </w:rPr>
      </w:pPr>
    </w:p>
    <w:p w:rsidR="00CA13D1" w:rsidRDefault="00CA6724">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CA13D1" w:rsidRDefault="00CA6724">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la señora</w:t>
      </w:r>
      <w:r>
        <w:rPr>
          <w:rFonts w:ascii="Arial" w:eastAsia="Arial" w:hAnsi="Arial" w:cs="Arial"/>
          <w:b/>
          <w:sz w:val="22"/>
          <w:szCs w:val="22"/>
        </w:rPr>
        <w:t xml:space="preserve"> </w:t>
      </w:r>
      <w:r>
        <w:rPr>
          <w:rFonts w:ascii="Arial" w:eastAsia="Arial" w:hAnsi="Arial" w:cs="Arial"/>
          <w:sz w:val="22"/>
          <w:szCs w:val="22"/>
          <w:lang w:val="pt-BR"/>
        </w:rPr>
        <w:t xml:space="preserve">MAGALI SAMARA RODRIGUEZ PEREZ </w:t>
      </w:r>
      <w:r>
        <w:rPr>
          <w:rFonts w:ascii="Arial" w:eastAsia="Arial" w:hAnsi="Arial" w:cs="Arial"/>
          <w:sz w:val="22"/>
          <w:szCs w:val="22"/>
        </w:rPr>
        <w:t xml:space="preserve">identificada con la cédula de ciudadanía No. </w:t>
      </w:r>
      <w:r>
        <w:rPr>
          <w:rFonts w:ascii="Arial" w:eastAsia="Arial" w:hAnsi="Arial" w:cs="Arial"/>
          <w:bCs/>
          <w:sz w:val="22"/>
          <w:szCs w:val="22"/>
        </w:rPr>
        <w:t>C.C. 40442183</w:t>
      </w:r>
      <w:r>
        <w:rPr>
          <w:rFonts w:ascii="Arial" w:eastAsia="Arial" w:hAnsi="Arial" w:cs="Arial"/>
          <w:sz w:val="22"/>
          <w:szCs w:val="22"/>
        </w:rPr>
        <w:t xml:space="preserve">, en su condición de concursante admitido al cargo de AUXILIAR JUDICIAL DE JUZGADOS PENALES DEL CIRCUITO ESPECIALIZADO- Grupo 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CA13D1" w:rsidRDefault="00CA6724">
      <w:pPr>
        <w:spacing w:line="259" w:lineRule="auto"/>
        <w:ind w:left="142"/>
        <w:rPr>
          <w:sz w:val="22"/>
          <w:szCs w:val="22"/>
        </w:rPr>
      </w:pPr>
      <w:r>
        <w:rPr>
          <w:sz w:val="22"/>
          <w:szCs w:val="22"/>
        </w:rPr>
        <w:t xml:space="preserve"> </w:t>
      </w:r>
    </w:p>
    <w:p w:rsidR="00CA13D1" w:rsidRDefault="00CA6724">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CA13D1" w:rsidRDefault="00CA6724">
      <w:pPr>
        <w:spacing w:line="259" w:lineRule="auto"/>
        <w:ind w:left="142"/>
        <w:rPr>
          <w:sz w:val="22"/>
          <w:szCs w:val="22"/>
        </w:rPr>
      </w:pPr>
      <w:r>
        <w:rPr>
          <w:sz w:val="22"/>
          <w:szCs w:val="22"/>
        </w:rPr>
        <w:t xml:space="preserve"> </w:t>
      </w:r>
    </w:p>
    <w:p w:rsidR="00CA13D1" w:rsidRDefault="00CA6724">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CA13D1" w:rsidRDefault="00CA13D1">
      <w:pPr>
        <w:jc w:val="both"/>
        <w:rPr>
          <w:rFonts w:ascii="Arial" w:eastAsia="Arial" w:hAnsi="Arial" w:cs="Arial"/>
          <w:sz w:val="22"/>
          <w:szCs w:val="22"/>
        </w:rPr>
      </w:pPr>
    </w:p>
    <w:p w:rsidR="00CA13D1" w:rsidRDefault="00CA13D1">
      <w:pPr>
        <w:jc w:val="both"/>
        <w:rPr>
          <w:rFonts w:ascii="Arial" w:eastAsia="Arial" w:hAnsi="Arial" w:cs="Arial"/>
          <w:sz w:val="22"/>
          <w:szCs w:val="22"/>
        </w:rPr>
      </w:pPr>
    </w:p>
    <w:p w:rsidR="00CA13D1" w:rsidRDefault="00CA6724">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CA13D1" w:rsidRDefault="00CA6724">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primer día (01) días del mes de marzo de dos mil veintiuno - 2021.</w:t>
      </w:r>
    </w:p>
    <w:p w:rsidR="00CA13D1" w:rsidRDefault="00CA13D1">
      <w:pPr>
        <w:spacing w:after="47"/>
        <w:ind w:right="34"/>
        <w:jc w:val="center"/>
        <w:rPr>
          <w:rFonts w:ascii="Arial" w:eastAsia="Arial" w:hAnsi="Arial" w:cs="Arial"/>
          <w:color w:val="000000"/>
          <w:sz w:val="22"/>
          <w:szCs w:val="22"/>
        </w:rPr>
      </w:pPr>
    </w:p>
    <w:p w:rsidR="00CA13D1" w:rsidRDefault="00CA13D1">
      <w:pPr>
        <w:ind w:right="34"/>
        <w:rPr>
          <w:rFonts w:ascii="Arial" w:eastAsia="Arial" w:hAnsi="Arial" w:cs="Arial"/>
          <w:b/>
          <w:color w:val="000000"/>
          <w:sz w:val="22"/>
          <w:szCs w:val="22"/>
        </w:rPr>
      </w:pPr>
    </w:p>
    <w:p w:rsidR="00CA13D1" w:rsidRDefault="00CA13D1">
      <w:pPr>
        <w:ind w:right="34"/>
        <w:rPr>
          <w:rFonts w:ascii="Arial" w:eastAsia="Arial" w:hAnsi="Arial" w:cs="Arial"/>
          <w:b/>
          <w:color w:val="000000"/>
          <w:sz w:val="22"/>
          <w:szCs w:val="22"/>
        </w:rPr>
      </w:pPr>
    </w:p>
    <w:p w:rsidR="00CA13D1" w:rsidRDefault="00CA6724">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CA13D1" w:rsidRDefault="00CA6724">
      <w:pPr>
        <w:ind w:right="34"/>
        <w:rPr>
          <w:rFonts w:ascii="Arial" w:eastAsia="Arial" w:hAnsi="Arial" w:cs="Arial"/>
          <w:color w:val="000000"/>
          <w:sz w:val="22"/>
          <w:szCs w:val="22"/>
        </w:rPr>
      </w:pPr>
      <w:r>
        <w:rPr>
          <w:rFonts w:ascii="Arial" w:eastAsia="Arial" w:hAnsi="Arial" w:cs="Arial"/>
          <w:color w:val="000000"/>
          <w:sz w:val="22"/>
          <w:szCs w:val="22"/>
        </w:rPr>
        <w:t>Presidente</w:t>
      </w:r>
    </w:p>
    <w:p w:rsidR="00CA13D1" w:rsidRDefault="00CA13D1">
      <w:pPr>
        <w:ind w:right="34"/>
        <w:rPr>
          <w:rFonts w:ascii="Arial" w:eastAsia="Arial" w:hAnsi="Arial" w:cs="Arial"/>
          <w:iCs/>
          <w:color w:val="000000"/>
          <w:sz w:val="16"/>
          <w:szCs w:val="16"/>
        </w:rPr>
      </w:pPr>
    </w:p>
    <w:p w:rsidR="00CA13D1" w:rsidRDefault="00CA6724">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CA13D1" w:rsidRDefault="00CA6724">
      <w:pPr>
        <w:ind w:right="34"/>
        <w:rPr>
          <w:rFonts w:ascii="Arial" w:eastAsia="Arial" w:hAnsi="Arial" w:cs="Arial"/>
          <w:sz w:val="22"/>
          <w:szCs w:val="22"/>
          <w:lang w:val="es-CO"/>
        </w:rPr>
      </w:pPr>
      <w:r>
        <w:rPr>
          <w:rFonts w:ascii="Arial" w:eastAsia="Arial" w:hAnsi="Arial" w:cs="Arial"/>
          <w:iCs/>
          <w:color w:val="000000"/>
          <w:sz w:val="16"/>
          <w:szCs w:val="16"/>
        </w:rPr>
        <w:t>EXTCSJME21-261</w:t>
      </w:r>
    </w:p>
    <w:p w:rsidR="00CA13D1" w:rsidRDefault="00CA13D1">
      <w:pPr>
        <w:jc w:val="center"/>
        <w:rPr>
          <w:rFonts w:ascii="Arial" w:eastAsia="Arial" w:hAnsi="Arial" w:cs="Arial"/>
          <w:sz w:val="16"/>
          <w:szCs w:val="16"/>
          <w:lang w:val="es-CO"/>
        </w:rPr>
      </w:pPr>
    </w:p>
    <w:sectPr w:rsidR="00CA13D1">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2A" w:rsidRDefault="00FC242A">
      <w:r>
        <w:separator/>
      </w:r>
    </w:p>
  </w:endnote>
  <w:endnote w:type="continuationSeparator" w:id="0">
    <w:p w:rsidR="00FC242A" w:rsidRDefault="00FC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Berylium">
    <w:altName w:val="Times New Roman"/>
    <w:charset w:val="00"/>
    <w:family w:val="roman"/>
    <w:pitch w:val="default"/>
  </w:font>
  <w:font w:name="Berylum">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D1" w:rsidRDefault="00CA6724">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CA13D1" w:rsidRDefault="00FC242A">
    <w:pPr>
      <w:pStyle w:val="Piedepgina"/>
      <w:jc w:val="center"/>
      <w:rPr>
        <w:szCs w:val="22"/>
      </w:rPr>
    </w:pPr>
    <w:hyperlink r:id="rId1" w:history="1">
      <w:r w:rsidR="00CA6724">
        <w:rPr>
          <w:rStyle w:val="Hipervnculo"/>
          <w:rFonts w:ascii="Berylum" w:eastAsia="Berylum" w:hAnsi="Berylum"/>
          <w:bCs/>
          <w:iCs/>
          <w:sz w:val="22"/>
          <w:szCs w:val="22"/>
        </w:rPr>
        <w:t>www.ramajudicial.gov.co</w:t>
      </w:r>
    </w:hyperlink>
    <w:r w:rsidR="00CA6724">
      <w:rPr>
        <w:rFonts w:ascii="Berylum" w:eastAsia="Berylum" w:hAnsi="Berylum"/>
        <w:bCs/>
        <w:iCs/>
        <w:sz w:val="22"/>
        <w:szCs w:val="22"/>
      </w:rPr>
      <w:t xml:space="preserve"> - E mail: </w:t>
    </w:r>
    <w:hyperlink r:id="rId2" w:history="1">
      <w:r w:rsidR="00CA6724">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D1" w:rsidRDefault="00FC242A">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CA13D1" w:rsidRDefault="00CA6724">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CA6724">
      <w:rPr>
        <w:rFonts w:ascii="Berylum" w:eastAsia="Berylum" w:hAnsi="Berylum"/>
        <w:bCs/>
        <w:iCs/>
        <w:sz w:val="22"/>
        <w:szCs w:val="22"/>
      </w:rPr>
      <w:t xml:space="preserve">Carrera 29 No. 33B – 79 Palacio de Justicia, Torre B Tel: (8) 6622899 </w:t>
    </w:r>
  </w:p>
  <w:p w:rsidR="00CA13D1" w:rsidRDefault="00CA6724">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CA13D1" w:rsidRDefault="00CA6724">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2A" w:rsidRDefault="00FC242A">
      <w:r>
        <w:separator/>
      </w:r>
    </w:p>
  </w:footnote>
  <w:footnote w:type="continuationSeparator" w:id="0">
    <w:p w:rsidR="00FC242A" w:rsidRDefault="00FC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D1" w:rsidRDefault="00CA6724">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B941D9">
      <w:rPr>
        <w:rFonts w:ascii="Berylium" w:eastAsia="Berylium" w:hAnsi="Berylium"/>
        <w:bCs/>
        <w:iCs/>
        <w:noProof/>
        <w:sz w:val="22"/>
        <w:szCs w:val="22"/>
      </w:rPr>
      <w:t>5</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D1" w:rsidRDefault="00FC242A">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CA13D1" w:rsidRDefault="00CA6724">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CA13D1" w:rsidRDefault="00CA6724">
    <w:pPr>
      <w:pStyle w:val="Encabezado"/>
      <w:jc w:val="center"/>
    </w:pPr>
    <w:r>
      <w:rPr>
        <w:rFonts w:ascii="Berylium" w:eastAsia="Berylium" w:hAnsi="Berylium"/>
        <w:bCs/>
        <w:iCs/>
        <w:sz w:val="22"/>
        <w:szCs w:val="22"/>
      </w:rPr>
      <w:t>Consejo Seccional de la Judicatura del Meta</w:t>
    </w:r>
  </w:p>
  <w:p w:rsidR="00CA13D1" w:rsidRDefault="00CA13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5E66"/>
    <w:multiLevelType w:val="multilevel"/>
    <w:tmpl w:val="834EC0B6"/>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E14A50"/>
    <w:multiLevelType w:val="multilevel"/>
    <w:tmpl w:val="8162F382"/>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D1"/>
    <w:rsid w:val="00B941D9"/>
    <w:rsid w:val="00CA13D1"/>
    <w:rsid w:val="00CA6724"/>
    <w:rsid w:val="00D16335"/>
    <w:rsid w:val="00FC24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00A2801-69F6-493C-A23A-5D64208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3083</Words>
  <Characters>16957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2021-03-01T22:19:00Z</dcterms:created>
  <dcterms:modified xsi:type="dcterms:W3CDTF">2021-03-01T22:19:00Z</dcterms:modified>
</cp:coreProperties>
</file>